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DD3" w:rsidRPr="00737DD3" w:rsidRDefault="00E70D59" w:rsidP="00737DD3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center"/>
        <w:rPr>
          <w:rFonts w:eastAsia="Yu Mincho" w:cs="Arial"/>
          <w:sz w:val="24"/>
          <w:szCs w:val="24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3B16E7">
            <wp:simplePos x="0" y="0"/>
            <wp:positionH relativeFrom="column">
              <wp:posOffset>243205</wp:posOffset>
            </wp:positionH>
            <wp:positionV relativeFrom="paragraph">
              <wp:posOffset>0</wp:posOffset>
            </wp:positionV>
            <wp:extent cx="1200150" cy="1200150"/>
            <wp:effectExtent l="0" t="0" r="0" b="0"/>
            <wp:wrapSquare wrapText="bothSides"/>
            <wp:docPr id="2" name="Image 2" descr="Crous-logo-versai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ous-logo-versaill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i/>
          <w:i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B1DD09D">
            <wp:simplePos x="0" y="0"/>
            <wp:positionH relativeFrom="column">
              <wp:posOffset>4491355</wp:posOffset>
            </wp:positionH>
            <wp:positionV relativeFrom="paragraph">
              <wp:posOffset>0</wp:posOffset>
            </wp:positionV>
            <wp:extent cx="2133600" cy="1190625"/>
            <wp:effectExtent l="0" t="0" r="0" b="9525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7DD3" w:rsidRPr="00737DD3" w:rsidRDefault="00737DD3" w:rsidP="00737DD3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eastAsia="Yu Mincho" w:cs="Arial"/>
          <w:sz w:val="24"/>
          <w:szCs w:val="24"/>
          <w:lang w:eastAsia="ja-JP"/>
        </w:rPr>
      </w:pPr>
    </w:p>
    <w:p w:rsidR="00737DD3" w:rsidRPr="00737DD3" w:rsidRDefault="00737DD3" w:rsidP="00737DD3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eastAsia="Yu Mincho" w:cs="Arial"/>
          <w:sz w:val="24"/>
          <w:szCs w:val="24"/>
          <w:lang w:eastAsia="ja-JP"/>
        </w:rPr>
      </w:pPr>
    </w:p>
    <w:p w:rsidR="00737DD3" w:rsidRPr="00737DD3" w:rsidRDefault="00737DD3" w:rsidP="00737DD3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eastAsia="Yu Mincho" w:cs="Arial"/>
          <w:sz w:val="24"/>
          <w:szCs w:val="24"/>
          <w:lang w:eastAsia="ja-JP"/>
        </w:rPr>
      </w:pPr>
    </w:p>
    <w:p w:rsidR="00737DD3" w:rsidRPr="00737DD3" w:rsidRDefault="00737DD3" w:rsidP="00737DD3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eastAsia="Yu Mincho" w:cs="Arial"/>
          <w:sz w:val="24"/>
          <w:szCs w:val="24"/>
          <w:lang w:eastAsia="ja-JP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737DD3" w:rsidRPr="00737DD3" w:rsidTr="00737DD3">
        <w:trPr>
          <w:jc w:val="center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eastAsia="Yu Mincho" w:cs="Arial"/>
                <w:color w:val="FFFFFF"/>
                <w:sz w:val="28"/>
                <w:szCs w:val="28"/>
                <w:lang w:eastAsia="ja-JP"/>
              </w:rPr>
            </w:pPr>
            <w:r w:rsidRPr="00737DD3">
              <w:rPr>
                <w:rFonts w:eastAsia="Yu Mincho" w:cs="Arial"/>
                <w:color w:val="FFFFFF"/>
                <w:sz w:val="28"/>
                <w:szCs w:val="28"/>
                <w:lang w:eastAsia="ja-JP"/>
              </w:rPr>
              <w:t>Crous de l'académie de Versailles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eastAsia="Yu Mincho" w:cs="Arial"/>
                <w:color w:val="000000"/>
                <w:sz w:val="28"/>
                <w:szCs w:val="28"/>
                <w:lang w:eastAsia="ja-JP"/>
              </w:rPr>
            </w:pPr>
          </w:p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eastAsia="Yu Mincho" w:cs="Arial"/>
                <w:b/>
                <w:bCs/>
                <w:color w:val="000000"/>
                <w:sz w:val="28"/>
                <w:szCs w:val="28"/>
                <w:lang w:eastAsia="ja-JP"/>
              </w:rPr>
            </w:pPr>
            <w:r w:rsidRPr="00737DD3">
              <w:rPr>
                <w:rFonts w:eastAsia="Yu Mincho" w:cs="Arial"/>
                <w:b/>
                <w:bCs/>
                <w:color w:val="000000"/>
                <w:sz w:val="28"/>
                <w:szCs w:val="28"/>
                <w:lang w:eastAsia="ja-JP"/>
              </w:rPr>
              <w:t>MARCHÉ PUBLIC</w:t>
            </w:r>
          </w:p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eastAsia="Yu Mincho" w:cs="Arial"/>
                <w:b/>
                <w:bCs/>
                <w:color w:val="000000"/>
                <w:sz w:val="28"/>
                <w:szCs w:val="28"/>
                <w:lang w:eastAsia="ja-JP"/>
              </w:rPr>
            </w:pPr>
            <w:r w:rsidRPr="00737DD3">
              <w:rPr>
                <w:rFonts w:eastAsia="Yu Mincho" w:cs="Arial"/>
                <w:b/>
                <w:bCs/>
                <w:color w:val="000000"/>
                <w:sz w:val="28"/>
                <w:szCs w:val="28"/>
                <w:lang w:eastAsia="ja-JP"/>
              </w:rPr>
              <w:t>DE SERVICES</w:t>
            </w:r>
          </w:p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eastAsia="Yu Mincho" w:cs="Arial"/>
                <w:sz w:val="24"/>
                <w:szCs w:val="24"/>
                <w:lang w:eastAsia="ja-JP"/>
              </w:rPr>
            </w:pPr>
          </w:p>
        </w:tc>
      </w:tr>
    </w:tbl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tbl>
      <w:tblPr>
        <w:tblW w:w="9205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283"/>
        <w:gridCol w:w="6663"/>
      </w:tblGrid>
      <w:tr w:rsidR="00737DD3" w:rsidRPr="00737DD3" w:rsidTr="00737DD3">
        <w:tc>
          <w:tcPr>
            <w:tcW w:w="2259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eastAsia="Yu Mincho" w:cs="Arial"/>
                <w:sz w:val="24"/>
                <w:szCs w:val="24"/>
                <w:lang w:eastAsia="ja-JP"/>
              </w:rPr>
            </w:pPr>
            <w:r w:rsidRPr="00737DD3">
              <w:rPr>
                <w:rFonts w:eastAsia="Yu Mincho" w:cs="Arial"/>
                <w:color w:val="000000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eastAsia="Yu Mincho" w:cs="Arial"/>
                <w:sz w:val="24"/>
                <w:szCs w:val="24"/>
                <w:lang w:eastAsia="ja-JP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8" w:right="87"/>
              <w:rPr>
                <w:rFonts w:eastAsia="Yu Mincho" w:cs="Arial"/>
                <w:sz w:val="24"/>
                <w:szCs w:val="24"/>
                <w:lang w:eastAsia="ja-JP"/>
              </w:rPr>
            </w:pPr>
            <w:r w:rsidRPr="00737DD3">
              <w:rPr>
                <w:rFonts w:eastAsia="Yu Mincho" w:cs="Arial"/>
                <w:color w:val="404040"/>
                <w:sz w:val="44"/>
                <w:szCs w:val="44"/>
                <w:lang w:eastAsia="ja-JP"/>
              </w:rPr>
              <w:t>Prestations de déménagements, de manutentions                                               et de destructions d</w:t>
            </w:r>
            <w:bookmarkStart w:id="0" w:name="_GoBack"/>
            <w:bookmarkEnd w:id="0"/>
            <w:r w:rsidRPr="00737DD3">
              <w:rPr>
                <w:rFonts w:eastAsia="Yu Mincho" w:cs="Arial"/>
                <w:color w:val="404040"/>
                <w:sz w:val="44"/>
                <w:szCs w:val="44"/>
                <w:lang w:eastAsia="ja-JP"/>
              </w:rPr>
              <w:t>iverses                          pour le Crous de Versailles</w:t>
            </w:r>
          </w:p>
        </w:tc>
      </w:tr>
    </w:tbl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p w:rsidR="00737DD3" w:rsidRPr="00737DD3" w:rsidRDefault="00737DD3" w:rsidP="00737DD3">
      <w:pPr>
        <w:widowControl w:val="0"/>
        <w:autoSpaceDE w:val="0"/>
        <w:autoSpaceDN w:val="0"/>
        <w:adjustRightInd w:val="0"/>
        <w:ind w:left="117" w:right="111"/>
        <w:rPr>
          <w:rFonts w:eastAsia="Yu Mincho" w:cs="Arial"/>
          <w:color w:val="000000"/>
          <w:lang w:eastAsia="ja-JP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37DD3" w:rsidRPr="00737DD3" w:rsidTr="00737DD3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spacing w:before="260"/>
              <w:ind w:left="108" w:right="96"/>
              <w:jc w:val="center"/>
              <w:rPr>
                <w:rFonts w:eastAsia="Yu Mincho" w:cs="Arial"/>
                <w:b/>
                <w:bCs/>
                <w:color w:val="FFFFFF"/>
                <w:sz w:val="40"/>
                <w:szCs w:val="40"/>
                <w:lang w:eastAsia="ja-JP"/>
              </w:rPr>
            </w:pPr>
            <w:r w:rsidRPr="00737DD3">
              <w:rPr>
                <w:rFonts w:eastAsia="Yu Mincho" w:cs="Arial"/>
                <w:b/>
                <w:bCs/>
                <w:color w:val="FFFFFF"/>
                <w:sz w:val="40"/>
                <w:szCs w:val="40"/>
                <w:lang w:eastAsia="ja-JP"/>
              </w:rPr>
              <w:t>BPU (Bordereau des Prix Unitaires)</w:t>
            </w:r>
          </w:p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ind w:left="108" w:right="96"/>
              <w:jc w:val="center"/>
              <w:rPr>
                <w:rFonts w:eastAsia="Yu Mincho" w:cs="Arial"/>
                <w:b/>
                <w:bCs/>
                <w:color w:val="FFFFFF"/>
                <w:sz w:val="40"/>
                <w:szCs w:val="40"/>
                <w:lang w:eastAsia="ja-JP"/>
              </w:rPr>
            </w:pPr>
            <w:r w:rsidRPr="00737DD3">
              <w:rPr>
                <w:rFonts w:eastAsia="Yu Mincho" w:cs="Arial"/>
                <w:b/>
                <w:bCs/>
                <w:color w:val="FFFFFF"/>
                <w:sz w:val="40"/>
                <w:szCs w:val="40"/>
                <w:lang w:eastAsia="ja-JP"/>
              </w:rPr>
              <w:t>DEF (Détail Estimatif et Fictif)</w:t>
            </w:r>
            <w:r w:rsidR="00643CF3">
              <w:rPr>
                <w:rFonts w:eastAsia="Yu Mincho" w:cs="Arial"/>
                <w:b/>
                <w:bCs/>
                <w:color w:val="FFFFFF"/>
                <w:sz w:val="40"/>
                <w:szCs w:val="40"/>
                <w:lang w:eastAsia="ja-JP"/>
              </w:rPr>
              <w:t xml:space="preserve"> </w:t>
            </w:r>
          </w:p>
          <w:p w:rsidR="00737DD3" w:rsidRPr="00737DD3" w:rsidRDefault="00737DD3" w:rsidP="00737DD3">
            <w:pPr>
              <w:widowControl w:val="0"/>
              <w:autoSpaceDE w:val="0"/>
              <w:autoSpaceDN w:val="0"/>
              <w:adjustRightInd w:val="0"/>
              <w:spacing w:after="260"/>
              <w:ind w:left="108" w:right="96"/>
              <w:jc w:val="center"/>
              <w:rPr>
                <w:rFonts w:eastAsia="Yu Mincho" w:cs="Arial"/>
                <w:sz w:val="24"/>
                <w:szCs w:val="24"/>
                <w:lang w:eastAsia="ja-JP"/>
              </w:rPr>
            </w:pPr>
            <w:r w:rsidRPr="00737DD3">
              <w:rPr>
                <w:rFonts w:eastAsia="Yu Mincho" w:cs="Arial"/>
                <w:b/>
                <w:bCs/>
                <w:color w:val="FFFFFF"/>
                <w:sz w:val="32"/>
                <w:szCs w:val="40"/>
                <w:lang w:eastAsia="ja-JP"/>
              </w:rPr>
              <w:t>(</w:t>
            </w:r>
            <w:proofErr w:type="gramStart"/>
            <w:r w:rsidRPr="00737DD3">
              <w:rPr>
                <w:rFonts w:eastAsia="Yu Mincho" w:cs="Arial"/>
                <w:b/>
                <w:bCs/>
                <w:color w:val="FFFFFF"/>
                <w:sz w:val="32"/>
                <w:szCs w:val="40"/>
                <w:lang w:eastAsia="ja-JP"/>
              </w:rPr>
              <w:t>pour</w:t>
            </w:r>
            <w:proofErr w:type="gramEnd"/>
            <w:r w:rsidRPr="00737DD3">
              <w:rPr>
                <w:rFonts w:eastAsia="Yu Mincho" w:cs="Arial"/>
                <w:b/>
                <w:bCs/>
                <w:color w:val="FFFFFF"/>
                <w:sz w:val="32"/>
                <w:szCs w:val="40"/>
                <w:lang w:eastAsia="ja-JP"/>
              </w:rPr>
              <w:t xml:space="preserve"> les prestations sur bon de commande)</w:t>
            </w:r>
          </w:p>
        </w:tc>
      </w:tr>
    </w:tbl>
    <w:p w:rsidR="003B617F" w:rsidRPr="00043C16" w:rsidRDefault="003B617F" w:rsidP="003B617F">
      <w:pPr>
        <w:spacing w:before="480"/>
        <w:jc w:val="center"/>
        <w:rPr>
          <w:rFonts w:cs="Arial"/>
          <w:b/>
          <w:sz w:val="28"/>
          <w:szCs w:val="28"/>
        </w:rPr>
      </w:pPr>
    </w:p>
    <w:p w:rsidR="003B617F" w:rsidRPr="00043C16" w:rsidRDefault="003B617F" w:rsidP="003B617F">
      <w:pPr>
        <w:rPr>
          <w:rFonts w:cs="Arial"/>
          <w:sz w:val="28"/>
          <w:szCs w:val="28"/>
        </w:rPr>
      </w:pPr>
    </w:p>
    <w:p w:rsidR="003B617F" w:rsidRPr="00043C16" w:rsidRDefault="003B617F" w:rsidP="003B617F">
      <w:pPr>
        <w:ind w:left="1416"/>
        <w:jc w:val="both"/>
        <w:rPr>
          <w:rFonts w:cs="Arial"/>
          <w:sz w:val="28"/>
          <w:szCs w:val="28"/>
        </w:rPr>
      </w:pPr>
    </w:p>
    <w:p w:rsidR="003B617F" w:rsidRPr="00043C16" w:rsidRDefault="003B617F" w:rsidP="003B617F">
      <w:pPr>
        <w:ind w:left="1416"/>
        <w:jc w:val="both"/>
        <w:rPr>
          <w:rFonts w:cs="Arial"/>
          <w:sz w:val="28"/>
          <w:szCs w:val="28"/>
        </w:rPr>
      </w:pPr>
    </w:p>
    <w:p w:rsidR="003B617F" w:rsidRPr="00043C16" w:rsidRDefault="003B617F" w:rsidP="003B617F">
      <w:pPr>
        <w:ind w:left="1416"/>
        <w:jc w:val="both"/>
        <w:rPr>
          <w:rFonts w:cs="Arial"/>
          <w:sz w:val="28"/>
          <w:szCs w:val="28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737DD3" w:rsidRDefault="00737DD3" w:rsidP="003B617F">
      <w:pPr>
        <w:ind w:left="1416"/>
        <w:jc w:val="both"/>
        <w:rPr>
          <w:rFonts w:cs="Arial"/>
          <w:sz w:val="22"/>
          <w:szCs w:val="22"/>
        </w:rPr>
      </w:pPr>
    </w:p>
    <w:p w:rsidR="00737DD3" w:rsidRPr="005553F0" w:rsidRDefault="00737DD3" w:rsidP="003B617F">
      <w:pPr>
        <w:ind w:left="1416"/>
        <w:jc w:val="both"/>
        <w:rPr>
          <w:rFonts w:cs="Arial"/>
          <w:sz w:val="22"/>
          <w:szCs w:val="22"/>
        </w:rPr>
      </w:pPr>
    </w:p>
    <w:p w:rsidR="003B617F" w:rsidRPr="005553F0" w:rsidRDefault="003B617F" w:rsidP="003B617F">
      <w:pPr>
        <w:ind w:left="1416"/>
        <w:jc w:val="both"/>
        <w:rPr>
          <w:rFonts w:cs="Arial"/>
          <w:sz w:val="22"/>
          <w:szCs w:val="22"/>
        </w:rPr>
      </w:pPr>
    </w:p>
    <w:p w:rsidR="00B04E06" w:rsidRDefault="00B04E06" w:rsidP="0073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ind w:left="142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BPU (Bordereau des Prix Unitaires)</w:t>
      </w:r>
      <w:r w:rsidR="00737DD3">
        <w:rPr>
          <w:rFonts w:cs="Arial"/>
          <w:b/>
          <w:sz w:val="28"/>
          <w:szCs w:val="28"/>
        </w:rPr>
        <w:t xml:space="preserve"> - </w:t>
      </w:r>
      <w:r w:rsidR="00687776">
        <w:rPr>
          <w:rFonts w:cs="Arial"/>
          <w:b/>
          <w:sz w:val="28"/>
          <w:szCs w:val="28"/>
        </w:rPr>
        <w:t>DEF (Détail Estimatif et Fictif)</w:t>
      </w:r>
    </w:p>
    <w:p w:rsidR="00B04E06" w:rsidRPr="00737DD3" w:rsidRDefault="00EE100A" w:rsidP="00737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ind w:left="142"/>
        <w:jc w:val="center"/>
        <w:rPr>
          <w:rFonts w:cs="Arial"/>
          <w:b/>
          <w:sz w:val="22"/>
          <w:szCs w:val="24"/>
        </w:rPr>
      </w:pPr>
      <w:r w:rsidRPr="00737DD3">
        <w:rPr>
          <w:rFonts w:cs="Arial"/>
          <w:b/>
          <w:sz w:val="22"/>
          <w:szCs w:val="24"/>
        </w:rPr>
        <w:t>(</w:t>
      </w:r>
      <w:proofErr w:type="gramStart"/>
      <w:r w:rsidRPr="00737DD3">
        <w:rPr>
          <w:rFonts w:cs="Arial"/>
          <w:b/>
          <w:sz w:val="22"/>
          <w:szCs w:val="24"/>
        </w:rPr>
        <w:t>p</w:t>
      </w:r>
      <w:r w:rsidR="00B04E06" w:rsidRPr="00737DD3">
        <w:rPr>
          <w:rFonts w:cs="Arial"/>
          <w:b/>
          <w:sz w:val="22"/>
          <w:szCs w:val="24"/>
        </w:rPr>
        <w:t>our</w:t>
      </w:r>
      <w:proofErr w:type="gramEnd"/>
      <w:r w:rsidR="00B04E06" w:rsidRPr="00737DD3">
        <w:rPr>
          <w:rFonts w:cs="Arial"/>
          <w:b/>
          <w:sz w:val="22"/>
          <w:szCs w:val="24"/>
        </w:rPr>
        <w:t xml:space="preserve"> les prestations sur bon de commande</w:t>
      </w:r>
      <w:r w:rsidRPr="00737DD3">
        <w:rPr>
          <w:rFonts w:cs="Arial"/>
          <w:b/>
          <w:sz w:val="22"/>
          <w:szCs w:val="24"/>
        </w:rPr>
        <w:t>)</w:t>
      </w:r>
    </w:p>
    <w:p w:rsidR="00B04E06" w:rsidRPr="00993307" w:rsidRDefault="00B04E06" w:rsidP="00737DD3">
      <w:pPr>
        <w:ind w:left="142"/>
        <w:jc w:val="center"/>
        <w:rPr>
          <w:rFonts w:cs="Arial"/>
          <w:b/>
          <w:sz w:val="10"/>
          <w:szCs w:val="22"/>
          <w:u w:val="single"/>
        </w:rPr>
      </w:pPr>
    </w:p>
    <w:p w:rsidR="001453B4" w:rsidRPr="00737DD3" w:rsidRDefault="001453B4" w:rsidP="00737DD3">
      <w:pPr>
        <w:ind w:left="142"/>
        <w:jc w:val="both"/>
        <w:rPr>
          <w:rFonts w:cs="Arial"/>
          <w:sz w:val="18"/>
          <w:szCs w:val="22"/>
        </w:rPr>
      </w:pPr>
      <w:r w:rsidRPr="00737DD3">
        <w:rPr>
          <w:rFonts w:cs="Arial"/>
          <w:sz w:val="18"/>
          <w:szCs w:val="22"/>
        </w:rPr>
        <w:t>Le présent bordereau des prix unitaires intègre des quantités fictives et estimatives</w:t>
      </w:r>
      <w:r w:rsidR="00EE100A" w:rsidRPr="00737DD3">
        <w:rPr>
          <w:rFonts w:cs="Arial"/>
          <w:sz w:val="18"/>
          <w:szCs w:val="22"/>
        </w:rPr>
        <w:t>.</w:t>
      </w:r>
    </w:p>
    <w:p w:rsidR="00EE100A" w:rsidRPr="00737DD3" w:rsidRDefault="00EE100A" w:rsidP="00737DD3">
      <w:pPr>
        <w:ind w:left="142"/>
        <w:jc w:val="both"/>
        <w:rPr>
          <w:rFonts w:cs="Arial"/>
          <w:sz w:val="8"/>
          <w:szCs w:val="22"/>
        </w:rPr>
      </w:pPr>
    </w:p>
    <w:p w:rsidR="001453B4" w:rsidRPr="00737DD3" w:rsidRDefault="001453B4" w:rsidP="00737DD3">
      <w:pPr>
        <w:ind w:left="142"/>
        <w:jc w:val="both"/>
        <w:rPr>
          <w:rFonts w:cs="Arial"/>
          <w:sz w:val="18"/>
          <w:szCs w:val="22"/>
        </w:rPr>
      </w:pPr>
      <w:r w:rsidRPr="00737DD3">
        <w:rPr>
          <w:rFonts w:cs="Arial"/>
          <w:sz w:val="18"/>
          <w:szCs w:val="22"/>
        </w:rPr>
        <w:t xml:space="preserve">Ces quantités ne sont en effet pas connues pour les années à venir. Elles ne serviront ici qu’à comparer les offres des candidats et à les départager. Elles ne pourront donc pas être considérées comme des engagements de volumes </w:t>
      </w:r>
      <w:r w:rsidR="009845B5" w:rsidRPr="00737DD3">
        <w:rPr>
          <w:rFonts w:cs="Arial"/>
          <w:sz w:val="18"/>
          <w:szCs w:val="22"/>
        </w:rPr>
        <w:t>du Crous de Versailles</w:t>
      </w:r>
      <w:r w:rsidRPr="00737DD3">
        <w:rPr>
          <w:rFonts w:cs="Arial"/>
          <w:sz w:val="18"/>
          <w:szCs w:val="22"/>
        </w:rPr>
        <w:t xml:space="preserve">. </w:t>
      </w:r>
    </w:p>
    <w:p w:rsidR="001453B4" w:rsidRPr="00737DD3" w:rsidRDefault="001453B4" w:rsidP="00737DD3">
      <w:pPr>
        <w:ind w:left="142"/>
        <w:jc w:val="both"/>
        <w:rPr>
          <w:rFonts w:cs="Arial"/>
          <w:sz w:val="8"/>
          <w:szCs w:val="22"/>
        </w:rPr>
      </w:pPr>
    </w:p>
    <w:p w:rsidR="00EE100A" w:rsidRPr="00737DD3" w:rsidRDefault="001453B4" w:rsidP="00737DD3">
      <w:pPr>
        <w:ind w:left="142"/>
        <w:jc w:val="both"/>
        <w:rPr>
          <w:rFonts w:cs="Arial"/>
          <w:sz w:val="18"/>
          <w:szCs w:val="22"/>
        </w:rPr>
      </w:pPr>
      <w:r w:rsidRPr="00737DD3">
        <w:rPr>
          <w:rFonts w:cs="Arial"/>
          <w:sz w:val="18"/>
          <w:szCs w:val="22"/>
        </w:rPr>
        <w:t xml:space="preserve">Seuls les prix unitaires que le candidat exposera ici sont contractuels. </w:t>
      </w:r>
    </w:p>
    <w:p w:rsidR="00EE100A" w:rsidRPr="00737DD3" w:rsidRDefault="00EE100A" w:rsidP="00737DD3">
      <w:pPr>
        <w:ind w:left="142"/>
        <w:jc w:val="both"/>
        <w:rPr>
          <w:rFonts w:cs="Arial"/>
          <w:sz w:val="8"/>
          <w:szCs w:val="22"/>
        </w:rPr>
      </w:pPr>
    </w:p>
    <w:p w:rsidR="001453B4" w:rsidRPr="00737DD3" w:rsidRDefault="001453B4" w:rsidP="00737DD3">
      <w:pPr>
        <w:ind w:left="142"/>
        <w:jc w:val="both"/>
        <w:rPr>
          <w:rFonts w:cs="Arial"/>
          <w:sz w:val="18"/>
          <w:szCs w:val="22"/>
        </w:rPr>
      </w:pPr>
      <w:r w:rsidRPr="00737DD3">
        <w:rPr>
          <w:rFonts w:cs="Arial"/>
          <w:sz w:val="18"/>
          <w:szCs w:val="22"/>
        </w:rPr>
        <w:t>L’attributaire du marché devra obligatoirement les respecter en cours d’exécution et lors de son chiffrage des marchés subséquents</w:t>
      </w:r>
      <w:r w:rsidR="00904356" w:rsidRPr="00737DD3">
        <w:rPr>
          <w:rFonts w:cs="Arial"/>
          <w:sz w:val="18"/>
          <w:szCs w:val="22"/>
        </w:rPr>
        <w:t xml:space="preserve">. </w:t>
      </w:r>
    </w:p>
    <w:p w:rsidR="00EE100A" w:rsidRPr="00737DD3" w:rsidRDefault="00EE100A" w:rsidP="00737DD3">
      <w:pPr>
        <w:ind w:left="142"/>
        <w:jc w:val="both"/>
        <w:rPr>
          <w:rFonts w:cs="Arial"/>
          <w:sz w:val="8"/>
          <w:szCs w:val="22"/>
        </w:rPr>
      </w:pPr>
    </w:p>
    <w:p w:rsidR="00904356" w:rsidRPr="00737DD3" w:rsidRDefault="00904356" w:rsidP="00737DD3">
      <w:pPr>
        <w:ind w:left="142"/>
        <w:jc w:val="both"/>
        <w:rPr>
          <w:rFonts w:cs="Arial"/>
          <w:sz w:val="18"/>
          <w:szCs w:val="22"/>
        </w:rPr>
      </w:pPr>
      <w:r w:rsidRPr="00737DD3">
        <w:rPr>
          <w:rFonts w:cs="Arial"/>
          <w:sz w:val="18"/>
          <w:szCs w:val="22"/>
        </w:rPr>
        <w:t xml:space="preserve">Le temps affecté aux marchés, seule variable, sera systématiquement contrôlé lors de l’exécution par le représentant </w:t>
      </w:r>
      <w:r w:rsidR="009845B5" w:rsidRPr="00737DD3">
        <w:rPr>
          <w:rFonts w:cs="Arial"/>
          <w:sz w:val="18"/>
          <w:szCs w:val="22"/>
        </w:rPr>
        <w:t>du Crous de Versailles</w:t>
      </w:r>
      <w:r w:rsidRPr="00737DD3">
        <w:rPr>
          <w:rFonts w:cs="Arial"/>
          <w:sz w:val="18"/>
          <w:szCs w:val="22"/>
        </w:rPr>
        <w:t xml:space="preserve"> chargé du suivi des prestations.</w:t>
      </w:r>
      <w:r w:rsidR="00FF78C7" w:rsidRPr="00737DD3">
        <w:rPr>
          <w:rFonts w:cs="Arial"/>
          <w:sz w:val="18"/>
          <w:szCs w:val="22"/>
        </w:rPr>
        <w:t xml:space="preserve"> Un temps d’exécution plus court que le devis conclu fera l’objet d’un recalage au prorata de la facture concernée.</w:t>
      </w:r>
    </w:p>
    <w:p w:rsidR="00FF78C7" w:rsidRPr="00737DD3" w:rsidRDefault="00FF78C7" w:rsidP="00737DD3">
      <w:pPr>
        <w:ind w:left="142"/>
        <w:jc w:val="both"/>
        <w:rPr>
          <w:rFonts w:cs="Arial"/>
          <w:b/>
          <w:sz w:val="8"/>
          <w:szCs w:val="22"/>
          <w:u w:val="single"/>
        </w:rPr>
      </w:pPr>
    </w:p>
    <w:p w:rsidR="00EE100A" w:rsidRPr="00737DD3" w:rsidRDefault="003756FC" w:rsidP="00737DD3">
      <w:pPr>
        <w:ind w:left="142"/>
        <w:jc w:val="both"/>
        <w:rPr>
          <w:rFonts w:cs="Arial"/>
          <w:sz w:val="18"/>
          <w:szCs w:val="22"/>
        </w:rPr>
      </w:pPr>
      <w:r w:rsidRPr="00737DD3">
        <w:rPr>
          <w:rFonts w:cs="Arial"/>
          <w:sz w:val="18"/>
          <w:szCs w:val="22"/>
        </w:rPr>
        <w:t xml:space="preserve">Les prix unitaires devront intégrer toutes les dépenses afférentes à la prestation (assurances et frais divers). </w:t>
      </w:r>
    </w:p>
    <w:p w:rsidR="00737DD3" w:rsidRPr="00737DD3" w:rsidRDefault="00737DD3" w:rsidP="00737DD3">
      <w:pPr>
        <w:ind w:left="142"/>
        <w:jc w:val="both"/>
        <w:rPr>
          <w:rFonts w:cs="Arial"/>
          <w:sz w:val="8"/>
          <w:szCs w:val="22"/>
        </w:rPr>
      </w:pPr>
    </w:p>
    <w:p w:rsidR="003756FC" w:rsidRPr="00737DD3" w:rsidRDefault="003756FC" w:rsidP="00737DD3">
      <w:pPr>
        <w:ind w:left="142"/>
        <w:jc w:val="both"/>
        <w:rPr>
          <w:rFonts w:cs="Arial"/>
          <w:sz w:val="18"/>
          <w:szCs w:val="22"/>
        </w:rPr>
      </w:pPr>
      <w:r w:rsidRPr="00737DD3">
        <w:rPr>
          <w:rFonts w:cs="Arial"/>
          <w:sz w:val="18"/>
          <w:szCs w:val="22"/>
        </w:rPr>
        <w:t>Les factures</w:t>
      </w:r>
      <w:r w:rsidR="0006676E" w:rsidRPr="00737DD3">
        <w:rPr>
          <w:rFonts w:cs="Arial"/>
          <w:sz w:val="18"/>
          <w:szCs w:val="22"/>
        </w:rPr>
        <w:t xml:space="preserve"> ne devront ainsi intégrer que l</w:t>
      </w:r>
      <w:r w:rsidRPr="00737DD3">
        <w:rPr>
          <w:rFonts w:cs="Arial"/>
          <w:sz w:val="18"/>
          <w:szCs w:val="22"/>
        </w:rPr>
        <w:t>e</w:t>
      </w:r>
      <w:r w:rsidR="0006676E" w:rsidRPr="00737DD3">
        <w:rPr>
          <w:rFonts w:cs="Arial"/>
          <w:sz w:val="18"/>
          <w:szCs w:val="22"/>
        </w:rPr>
        <w:t>s</w:t>
      </w:r>
      <w:r w:rsidRPr="00737DD3">
        <w:rPr>
          <w:rFonts w:cs="Arial"/>
          <w:sz w:val="18"/>
          <w:szCs w:val="22"/>
        </w:rPr>
        <w:t xml:space="preserve"> prix unitaire</w:t>
      </w:r>
      <w:r w:rsidR="0006676E" w:rsidRPr="00737DD3">
        <w:rPr>
          <w:rFonts w:cs="Arial"/>
          <w:sz w:val="18"/>
          <w:szCs w:val="22"/>
        </w:rPr>
        <w:t>s</w:t>
      </w:r>
      <w:r w:rsidRPr="00737DD3">
        <w:rPr>
          <w:rFonts w:cs="Arial"/>
          <w:sz w:val="18"/>
          <w:szCs w:val="22"/>
        </w:rPr>
        <w:t xml:space="preserve"> </w:t>
      </w:r>
      <w:r w:rsidR="007514A1" w:rsidRPr="00737DD3">
        <w:rPr>
          <w:rFonts w:cs="Arial"/>
          <w:sz w:val="18"/>
          <w:szCs w:val="22"/>
        </w:rPr>
        <w:t xml:space="preserve">prévus ci-dessous </w:t>
      </w:r>
      <w:r w:rsidRPr="00737DD3">
        <w:rPr>
          <w:rFonts w:cs="Arial"/>
          <w:sz w:val="18"/>
          <w:szCs w:val="22"/>
        </w:rPr>
        <w:t>et le</w:t>
      </w:r>
      <w:r w:rsidR="0006676E" w:rsidRPr="00737DD3">
        <w:rPr>
          <w:rFonts w:cs="Arial"/>
          <w:sz w:val="18"/>
          <w:szCs w:val="22"/>
        </w:rPr>
        <w:t>urs</w:t>
      </w:r>
      <w:r w:rsidRPr="00737DD3">
        <w:rPr>
          <w:rFonts w:cs="Arial"/>
          <w:sz w:val="18"/>
          <w:szCs w:val="22"/>
        </w:rPr>
        <w:t xml:space="preserve"> quantitatif</w:t>
      </w:r>
      <w:r w:rsidR="007514A1" w:rsidRPr="00737DD3">
        <w:rPr>
          <w:rFonts w:cs="Arial"/>
          <w:sz w:val="18"/>
          <w:szCs w:val="22"/>
        </w:rPr>
        <w:t>s réellement appliqués</w:t>
      </w:r>
      <w:r w:rsidRPr="00737DD3">
        <w:rPr>
          <w:rFonts w:cs="Arial"/>
          <w:sz w:val="18"/>
          <w:szCs w:val="22"/>
        </w:rPr>
        <w:t>.</w:t>
      </w:r>
    </w:p>
    <w:p w:rsidR="001453B4" w:rsidRPr="003756FC" w:rsidRDefault="001453B4" w:rsidP="00737DD3">
      <w:pPr>
        <w:ind w:left="142"/>
        <w:jc w:val="center"/>
        <w:rPr>
          <w:rFonts w:cs="Arial"/>
          <w:sz w:val="22"/>
          <w:szCs w:val="22"/>
        </w:rPr>
      </w:pP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3599"/>
        <w:gridCol w:w="2410"/>
        <w:gridCol w:w="2355"/>
        <w:gridCol w:w="2409"/>
      </w:tblGrid>
      <w:tr w:rsidR="001453B4" w:rsidRPr="00737DD3" w:rsidTr="00737DD3">
        <w:trPr>
          <w:jc w:val="center"/>
        </w:trPr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53B4" w:rsidRPr="00737DD3" w:rsidRDefault="00F51524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  <w:u w:val="single"/>
              </w:rPr>
            </w:pPr>
            <w:r>
              <w:rPr>
                <w:rFonts w:asciiTheme="majorHAnsi" w:hAnsiTheme="majorHAnsi" w:cstheme="majorHAnsi"/>
                <w:b/>
                <w:szCs w:val="22"/>
                <w:u w:val="single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1453B4" w:rsidRPr="00737DD3" w:rsidRDefault="001453B4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737DD3">
              <w:rPr>
                <w:rFonts w:asciiTheme="majorHAnsi" w:hAnsiTheme="majorHAnsi" w:cstheme="majorHAnsi"/>
                <w:b/>
                <w:szCs w:val="22"/>
              </w:rPr>
              <w:t xml:space="preserve">Quantité annuelle estimative et fictive </w:t>
            </w:r>
          </w:p>
          <w:p w:rsidR="00FF78C7" w:rsidRPr="00737DD3" w:rsidRDefault="00FF78C7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(</w:t>
            </w:r>
            <w:proofErr w:type="gramStart"/>
            <w:r w:rsidRPr="00737DD3">
              <w:rPr>
                <w:rFonts w:asciiTheme="majorHAnsi" w:hAnsiTheme="majorHAnsi" w:cstheme="majorHAnsi"/>
                <w:szCs w:val="22"/>
              </w:rPr>
              <w:t>quantité</w:t>
            </w:r>
            <w:proofErr w:type="gramEnd"/>
            <w:r w:rsidRPr="00737DD3">
              <w:rPr>
                <w:rFonts w:asciiTheme="majorHAnsi" w:hAnsiTheme="majorHAnsi" w:cstheme="majorHAnsi"/>
                <w:szCs w:val="22"/>
              </w:rPr>
              <w:t xml:space="preserve"> = nb d’agents </w:t>
            </w:r>
            <w:r w:rsidR="00993307">
              <w:rPr>
                <w:rFonts w:asciiTheme="majorHAnsi" w:hAnsiTheme="majorHAnsi" w:cstheme="majorHAnsi"/>
                <w:szCs w:val="22"/>
              </w:rPr>
              <w:t xml:space="preserve">               </w:t>
            </w:r>
            <w:r w:rsidRPr="00737DD3">
              <w:rPr>
                <w:rFonts w:asciiTheme="majorHAnsi" w:hAnsiTheme="majorHAnsi" w:cstheme="majorHAnsi"/>
                <w:szCs w:val="22"/>
              </w:rPr>
              <w:t>x nb de demies journées ou jours entiers)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1453B4" w:rsidRPr="00993307" w:rsidRDefault="001453B4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b/>
                <w:szCs w:val="22"/>
              </w:rPr>
              <w:t xml:space="preserve">Prix unitaire </w:t>
            </w:r>
            <w:r w:rsidR="00FF78C7" w:rsidRPr="00737DD3">
              <w:rPr>
                <w:rFonts w:asciiTheme="majorHAnsi" w:hAnsiTheme="majorHAnsi" w:cstheme="majorHAnsi"/>
                <w:b/>
                <w:szCs w:val="22"/>
              </w:rPr>
              <w:t xml:space="preserve">CONTRACTUEL </w:t>
            </w:r>
            <w:r w:rsidR="0006422B" w:rsidRPr="00737DD3">
              <w:rPr>
                <w:rFonts w:asciiTheme="majorHAnsi" w:hAnsiTheme="majorHAnsi" w:cstheme="majorHAnsi"/>
                <w:b/>
                <w:szCs w:val="22"/>
              </w:rPr>
              <w:t>€ HT</w:t>
            </w:r>
            <w:r w:rsidR="00F3147F" w:rsidRPr="00737DD3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="00FF78C7" w:rsidRPr="00737DD3">
              <w:rPr>
                <w:rFonts w:asciiTheme="majorHAnsi" w:hAnsiTheme="majorHAnsi" w:cstheme="majorHAnsi"/>
                <w:szCs w:val="22"/>
              </w:rPr>
              <w:t xml:space="preserve">(prix à l’unité pour </w:t>
            </w:r>
            <w:r w:rsidR="00993307">
              <w:rPr>
                <w:rFonts w:asciiTheme="majorHAnsi" w:hAnsiTheme="majorHAnsi" w:cstheme="majorHAnsi"/>
                <w:szCs w:val="22"/>
              </w:rPr>
              <w:t xml:space="preserve">                   </w:t>
            </w:r>
            <w:r w:rsidR="00FF78C7" w:rsidRPr="00737DD3">
              <w:rPr>
                <w:rFonts w:asciiTheme="majorHAnsi" w:hAnsiTheme="majorHAnsi" w:cstheme="majorHAnsi"/>
                <w:szCs w:val="22"/>
              </w:rPr>
              <w:t>½ jours, jour entier</w:t>
            </w:r>
            <w:r w:rsidR="00FE02EB" w:rsidRPr="00737DD3">
              <w:rPr>
                <w:rFonts w:asciiTheme="majorHAnsi" w:hAnsiTheme="majorHAnsi" w:cstheme="majorHAnsi"/>
                <w:szCs w:val="22"/>
              </w:rPr>
              <w:t>, M3</w:t>
            </w:r>
            <w:r w:rsidR="00080127" w:rsidRPr="00737DD3">
              <w:rPr>
                <w:rFonts w:asciiTheme="majorHAnsi" w:hAnsiTheme="majorHAnsi" w:cstheme="majorHAnsi"/>
                <w:szCs w:val="22"/>
              </w:rPr>
              <w:t>, KM</w:t>
            </w:r>
            <w:r w:rsidR="00FF78C7" w:rsidRPr="00737DD3">
              <w:rPr>
                <w:rFonts w:asciiTheme="majorHAnsi" w:hAnsiTheme="majorHAnsi" w:cstheme="majorHAnsi"/>
                <w:szCs w:val="22"/>
              </w:rPr>
              <w:t xml:space="preserve"> ou </w:t>
            </w:r>
            <w:r w:rsidR="00D31ADC" w:rsidRPr="00737DD3">
              <w:rPr>
                <w:rFonts w:asciiTheme="majorHAnsi" w:hAnsiTheme="majorHAnsi" w:cstheme="majorHAnsi"/>
                <w:szCs w:val="22"/>
              </w:rPr>
              <w:t>tonne</w:t>
            </w:r>
            <w:r w:rsidR="00FF78C7" w:rsidRPr="00737DD3">
              <w:rPr>
                <w:rFonts w:asciiTheme="majorHAnsi" w:hAnsiTheme="majorHAnsi" w:cstheme="majorHAnsi"/>
                <w:szCs w:val="22"/>
              </w:rPr>
              <w:t>)</w:t>
            </w:r>
          </w:p>
        </w:tc>
        <w:tc>
          <w:tcPr>
            <w:tcW w:w="2409" w:type="dxa"/>
            <w:vAlign w:val="center"/>
          </w:tcPr>
          <w:p w:rsidR="001453B4" w:rsidRPr="00737DD3" w:rsidRDefault="001453B4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737DD3">
              <w:rPr>
                <w:rFonts w:asciiTheme="majorHAnsi" w:hAnsiTheme="majorHAnsi" w:cstheme="majorHAnsi"/>
                <w:b/>
                <w:szCs w:val="22"/>
              </w:rPr>
              <w:t xml:space="preserve">Prix total estimatif </w:t>
            </w:r>
            <w:r w:rsidR="00737DD3" w:rsidRPr="00737DD3">
              <w:rPr>
                <w:rFonts w:asciiTheme="majorHAnsi" w:hAnsiTheme="majorHAnsi" w:cstheme="majorHAnsi"/>
                <w:b/>
                <w:szCs w:val="22"/>
              </w:rPr>
              <w:t xml:space="preserve">                  </w:t>
            </w:r>
            <w:r w:rsidRPr="00737DD3">
              <w:rPr>
                <w:rFonts w:asciiTheme="majorHAnsi" w:hAnsiTheme="majorHAnsi" w:cstheme="majorHAnsi"/>
                <w:b/>
                <w:szCs w:val="22"/>
              </w:rPr>
              <w:t>et fictif</w:t>
            </w:r>
            <w:r w:rsidR="0006422B" w:rsidRPr="00737DD3">
              <w:rPr>
                <w:rFonts w:asciiTheme="majorHAnsi" w:hAnsiTheme="majorHAnsi" w:cstheme="majorHAnsi"/>
                <w:b/>
                <w:szCs w:val="22"/>
              </w:rPr>
              <w:t xml:space="preserve"> € HT</w:t>
            </w:r>
          </w:p>
        </w:tc>
      </w:tr>
      <w:tr w:rsidR="001453B4" w:rsidRPr="00737DD3" w:rsidTr="00737DD3">
        <w:trPr>
          <w:trHeight w:val="391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:rsidR="001453B4" w:rsidRPr="00737DD3" w:rsidRDefault="001453B4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737DD3">
              <w:rPr>
                <w:rFonts w:asciiTheme="majorHAnsi" w:hAnsiTheme="majorHAnsi" w:cstheme="majorHAnsi"/>
                <w:b/>
                <w:szCs w:val="22"/>
              </w:rPr>
              <w:t>Transfert interne</w:t>
            </w:r>
            <w:r w:rsidR="0006422B" w:rsidRPr="00737DD3">
              <w:rPr>
                <w:rFonts w:asciiTheme="majorHAnsi" w:hAnsiTheme="majorHAnsi" w:cstheme="majorHAnsi"/>
                <w:b/>
                <w:szCs w:val="22"/>
              </w:rPr>
              <w:t xml:space="preserve"> (déménageur + matériel de déménagement)</w:t>
            </w:r>
          </w:p>
        </w:tc>
      </w:tr>
      <w:tr w:rsidR="0006422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06422B" w:rsidRPr="00737DD3" w:rsidRDefault="0006422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proofErr w:type="gramStart"/>
            <w:r w:rsidRPr="00737DD3">
              <w:rPr>
                <w:rFonts w:asciiTheme="majorHAnsi" w:hAnsiTheme="majorHAnsi" w:cstheme="majorHAnsi"/>
                <w:szCs w:val="22"/>
              </w:rPr>
              <w:t>½</w:t>
            </w:r>
            <w:proofErr w:type="gramEnd"/>
            <w:r w:rsidRPr="00737DD3">
              <w:rPr>
                <w:rFonts w:asciiTheme="majorHAnsi" w:hAnsiTheme="majorHAnsi" w:cstheme="majorHAnsi"/>
                <w:szCs w:val="22"/>
              </w:rPr>
              <w:t xml:space="preserve"> journée</w:t>
            </w:r>
            <w:r w:rsidR="00FF78C7" w:rsidRPr="00737DD3">
              <w:rPr>
                <w:rFonts w:asciiTheme="majorHAnsi" w:hAnsiTheme="majorHAnsi" w:cstheme="majorHAnsi"/>
                <w:szCs w:val="22"/>
              </w:rPr>
              <w:t xml:space="preserve"> (3h30)</w:t>
            </w:r>
          </w:p>
        </w:tc>
        <w:tc>
          <w:tcPr>
            <w:tcW w:w="2410" w:type="dxa"/>
            <w:vAlign w:val="center"/>
          </w:tcPr>
          <w:p w:rsidR="0006422B" w:rsidRPr="00737DD3" w:rsidRDefault="009845B5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5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06422B" w:rsidRPr="00737DD3" w:rsidRDefault="0006422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06422B" w:rsidRPr="00737DD3" w:rsidRDefault="0006422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06422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06422B" w:rsidRPr="00737DD3" w:rsidRDefault="00FF78C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1 jour (7 heures)</w:t>
            </w:r>
          </w:p>
        </w:tc>
        <w:tc>
          <w:tcPr>
            <w:tcW w:w="2410" w:type="dxa"/>
            <w:vAlign w:val="center"/>
          </w:tcPr>
          <w:p w:rsidR="0006422B" w:rsidRPr="00737DD3" w:rsidRDefault="009845B5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5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06422B" w:rsidRPr="00737DD3" w:rsidRDefault="0006422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06422B" w:rsidRPr="00737DD3" w:rsidRDefault="0006422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06422B" w:rsidRPr="00737DD3" w:rsidTr="00737DD3">
        <w:trPr>
          <w:trHeight w:val="391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shd w:val="clear" w:color="auto" w:fill="D9E2F3"/>
            <w:vAlign w:val="center"/>
          </w:tcPr>
          <w:p w:rsidR="0006422B" w:rsidRPr="00737DD3" w:rsidRDefault="0006422B" w:rsidP="00993307">
            <w:pPr>
              <w:ind w:left="142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 w:rsidRPr="00737DD3">
              <w:rPr>
                <w:rFonts w:ascii="Calibri Light" w:hAnsi="Calibri Light" w:cs="Calibri Light"/>
                <w:b/>
                <w:szCs w:val="22"/>
              </w:rPr>
              <w:t>Transfert externe (déménageur + matériel de déménagement)</w:t>
            </w:r>
          </w:p>
        </w:tc>
      </w:tr>
      <w:tr w:rsidR="00FF78C7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F78C7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&lt; 5 M3</w:t>
            </w:r>
          </w:p>
        </w:tc>
        <w:tc>
          <w:tcPr>
            <w:tcW w:w="2410" w:type="dxa"/>
            <w:vAlign w:val="center"/>
          </w:tcPr>
          <w:p w:rsidR="00FF78C7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10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F78C7" w:rsidRPr="00737DD3" w:rsidRDefault="00FF78C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F78C7" w:rsidRPr="00737DD3" w:rsidRDefault="00FF78C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FF78C7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F78C7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6 M3 à 20 M3</w:t>
            </w:r>
          </w:p>
        </w:tc>
        <w:tc>
          <w:tcPr>
            <w:tcW w:w="2410" w:type="dxa"/>
            <w:vAlign w:val="center"/>
          </w:tcPr>
          <w:p w:rsidR="00FF78C7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30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F78C7" w:rsidRPr="00737DD3" w:rsidRDefault="00FF78C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F78C7" w:rsidRPr="00737DD3" w:rsidRDefault="00FF78C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9845B5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9845B5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2</w:t>
            </w:r>
            <w:r w:rsidR="00080127" w:rsidRPr="00737DD3">
              <w:rPr>
                <w:rFonts w:ascii="Calibri Light" w:hAnsi="Calibri Light" w:cs="Calibri Light"/>
                <w:szCs w:val="22"/>
              </w:rPr>
              <w:t>1</w:t>
            </w:r>
            <w:r w:rsidRPr="00737DD3">
              <w:rPr>
                <w:rFonts w:ascii="Calibri Light" w:hAnsi="Calibri Light" w:cs="Calibri Light"/>
                <w:szCs w:val="22"/>
              </w:rPr>
              <w:t xml:space="preserve"> M3 à 50M3</w:t>
            </w:r>
          </w:p>
        </w:tc>
        <w:tc>
          <w:tcPr>
            <w:tcW w:w="2410" w:type="dxa"/>
            <w:vAlign w:val="center"/>
          </w:tcPr>
          <w:p w:rsidR="009845B5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100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9845B5" w:rsidRPr="00737DD3" w:rsidRDefault="009845B5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9845B5" w:rsidRPr="00737DD3" w:rsidRDefault="009845B5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pStyle w:val="Paragraphedeliste"/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&gt;5</w:t>
            </w:r>
            <w:r w:rsidR="00080127" w:rsidRPr="00737DD3">
              <w:rPr>
                <w:rFonts w:ascii="Calibri Light" w:hAnsi="Calibri Light" w:cs="Calibri Light"/>
                <w:szCs w:val="22"/>
              </w:rPr>
              <w:t>1</w:t>
            </w:r>
            <w:r w:rsidRPr="00737DD3">
              <w:rPr>
                <w:rFonts w:ascii="Calibri Light" w:hAnsi="Calibri Light" w:cs="Calibri Light"/>
                <w:szCs w:val="22"/>
              </w:rPr>
              <w:t xml:space="preserve"> M3</w:t>
            </w:r>
          </w:p>
        </w:tc>
        <w:tc>
          <w:tcPr>
            <w:tcW w:w="2410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200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shd w:val="clear" w:color="auto" w:fill="D9E2F3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 w:rsidRPr="00737DD3">
              <w:rPr>
                <w:rFonts w:ascii="Calibri Light" w:hAnsi="Calibri Light" w:cs="Calibri Light"/>
                <w:b/>
                <w:szCs w:val="22"/>
              </w:rPr>
              <w:t xml:space="preserve">Transfert externe </w:t>
            </w:r>
            <w:r w:rsidR="00080127" w:rsidRPr="00737DD3">
              <w:rPr>
                <w:rFonts w:ascii="Calibri Light" w:hAnsi="Calibri Light" w:cs="Calibri Light"/>
                <w:b/>
                <w:szCs w:val="22"/>
              </w:rPr>
              <w:t xml:space="preserve">A/R </w:t>
            </w:r>
            <w:r w:rsidRPr="00737DD3">
              <w:rPr>
                <w:rFonts w:ascii="Calibri Light" w:hAnsi="Calibri Light" w:cs="Calibri Light"/>
                <w:b/>
                <w:szCs w:val="22"/>
              </w:rPr>
              <w:t>(</w:t>
            </w:r>
            <w:r w:rsidR="00080127" w:rsidRPr="00737DD3">
              <w:rPr>
                <w:rFonts w:ascii="Calibri Light" w:hAnsi="Calibri Light" w:cs="Calibri Light"/>
                <w:b/>
                <w:szCs w:val="22"/>
              </w:rPr>
              <w:t>Véhicule</w:t>
            </w:r>
            <w:r w:rsidRPr="00737DD3">
              <w:rPr>
                <w:rFonts w:ascii="Calibri Light" w:hAnsi="Calibri Light" w:cs="Calibri Light"/>
                <w:b/>
                <w:szCs w:val="22"/>
              </w:rPr>
              <w:t>)</w:t>
            </w: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 xml:space="preserve">&lt; </w:t>
            </w:r>
            <w:r w:rsidR="00080127" w:rsidRPr="00737DD3">
              <w:rPr>
                <w:rFonts w:asciiTheme="majorHAnsi" w:hAnsiTheme="majorHAnsi" w:cstheme="majorHAnsi"/>
                <w:szCs w:val="22"/>
              </w:rPr>
              <w:t>10 Km</w:t>
            </w:r>
          </w:p>
        </w:tc>
        <w:tc>
          <w:tcPr>
            <w:tcW w:w="2410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2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10</w:t>
            </w:r>
            <w:r w:rsidR="00FE02EB" w:rsidRPr="00737DD3">
              <w:rPr>
                <w:rFonts w:ascii="Calibri Light" w:hAnsi="Calibri Light" w:cs="Calibri Light"/>
                <w:szCs w:val="22"/>
              </w:rPr>
              <w:t xml:space="preserve"> </w:t>
            </w:r>
            <w:r w:rsidRPr="00737DD3">
              <w:rPr>
                <w:rFonts w:ascii="Calibri Light" w:hAnsi="Calibri Light" w:cs="Calibri Light"/>
                <w:szCs w:val="22"/>
              </w:rPr>
              <w:t>KM</w:t>
            </w:r>
            <w:r w:rsidR="00FE02EB" w:rsidRPr="00737DD3">
              <w:rPr>
                <w:rFonts w:ascii="Calibri Light" w:hAnsi="Calibri Light" w:cs="Calibri Light"/>
                <w:szCs w:val="22"/>
              </w:rPr>
              <w:t xml:space="preserve"> à 20 </w:t>
            </w:r>
            <w:r w:rsidRPr="00737DD3">
              <w:rPr>
                <w:rFonts w:ascii="Calibri Light" w:hAnsi="Calibri Light" w:cs="Calibri Light"/>
                <w:szCs w:val="22"/>
              </w:rPr>
              <w:t>KM</w:t>
            </w:r>
          </w:p>
        </w:tc>
        <w:tc>
          <w:tcPr>
            <w:tcW w:w="2410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3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21</w:t>
            </w:r>
            <w:r w:rsidR="00FE02EB" w:rsidRPr="00737DD3">
              <w:rPr>
                <w:rFonts w:ascii="Calibri Light" w:hAnsi="Calibri Light" w:cs="Calibri Light"/>
                <w:szCs w:val="22"/>
              </w:rPr>
              <w:t xml:space="preserve"> </w:t>
            </w:r>
            <w:r w:rsidRPr="00737DD3">
              <w:rPr>
                <w:rFonts w:ascii="Calibri Light" w:hAnsi="Calibri Light" w:cs="Calibri Light"/>
                <w:szCs w:val="22"/>
              </w:rPr>
              <w:t>KM</w:t>
            </w:r>
            <w:r w:rsidR="00FE02EB" w:rsidRPr="00737DD3">
              <w:rPr>
                <w:rFonts w:ascii="Calibri Light" w:hAnsi="Calibri Light" w:cs="Calibri Light"/>
                <w:szCs w:val="22"/>
              </w:rPr>
              <w:t xml:space="preserve"> à </w:t>
            </w:r>
            <w:r w:rsidRPr="00737DD3">
              <w:rPr>
                <w:rFonts w:ascii="Calibri Light" w:hAnsi="Calibri Light" w:cs="Calibri Light"/>
                <w:szCs w:val="22"/>
              </w:rPr>
              <w:t xml:space="preserve">50 KM </w:t>
            </w:r>
          </w:p>
        </w:tc>
        <w:tc>
          <w:tcPr>
            <w:tcW w:w="2410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3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pStyle w:val="Paragraphedeliste"/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&gt;</w:t>
            </w:r>
            <w:r w:rsidR="00080127" w:rsidRPr="00737DD3">
              <w:rPr>
                <w:rFonts w:ascii="Calibri Light" w:hAnsi="Calibri Light" w:cs="Calibri Light"/>
                <w:szCs w:val="22"/>
              </w:rPr>
              <w:t>51</w:t>
            </w:r>
            <w:r w:rsidRPr="00737DD3">
              <w:rPr>
                <w:rFonts w:ascii="Calibri Light" w:hAnsi="Calibri Light" w:cs="Calibri Light"/>
                <w:szCs w:val="22"/>
              </w:rPr>
              <w:t xml:space="preserve"> </w:t>
            </w:r>
            <w:r w:rsidR="00080127" w:rsidRPr="00737DD3">
              <w:rPr>
                <w:rFonts w:ascii="Calibri Light" w:hAnsi="Calibri Light" w:cs="Calibri Light"/>
                <w:szCs w:val="22"/>
              </w:rPr>
              <w:t>KM</w:t>
            </w:r>
          </w:p>
        </w:tc>
        <w:tc>
          <w:tcPr>
            <w:tcW w:w="2410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1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shd w:val="clear" w:color="auto" w:fill="D9E2F3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 w:rsidRPr="00737DD3">
              <w:rPr>
                <w:rFonts w:ascii="Calibri Light" w:hAnsi="Calibri Light" w:cs="Calibri Light"/>
                <w:b/>
                <w:szCs w:val="22"/>
              </w:rPr>
              <w:t>Destruction (prix seul des frais de déchèterie)</w:t>
            </w:r>
          </w:p>
        </w:tc>
      </w:tr>
      <w:tr w:rsidR="00FE02EB" w:rsidRPr="00737DD3" w:rsidTr="00737DD3">
        <w:trPr>
          <w:trHeight w:val="391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Destruction pour 1 tonne</w:t>
            </w:r>
            <w:r w:rsidRPr="00737DD3">
              <w:rPr>
                <w:rFonts w:asciiTheme="majorHAnsi" w:hAnsiTheme="majorHAnsi" w:cstheme="majorHAnsi"/>
                <w:szCs w:val="22"/>
                <w:vertAlign w:val="superscript"/>
              </w:rPr>
              <w:t xml:space="preserve"> </w:t>
            </w:r>
            <w:r w:rsidRPr="00737DD3">
              <w:rPr>
                <w:rFonts w:asciiTheme="majorHAnsi" w:hAnsiTheme="majorHAnsi" w:cstheme="majorHAnsi"/>
                <w:szCs w:val="22"/>
              </w:rPr>
              <w:t>de DIB</w:t>
            </w:r>
          </w:p>
        </w:tc>
        <w:tc>
          <w:tcPr>
            <w:tcW w:w="2410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1</w:t>
            </w:r>
            <w:r w:rsidR="00737DD3">
              <w:rPr>
                <w:rFonts w:asciiTheme="majorHAnsi" w:hAnsiTheme="majorHAnsi" w:cstheme="majorHAnsi"/>
                <w:szCs w:val="22"/>
              </w:rPr>
              <w:t xml:space="preserve"> </w:t>
            </w:r>
            <w:r w:rsidRPr="00737DD3">
              <w:rPr>
                <w:rFonts w:asciiTheme="majorHAnsi" w:hAnsiTheme="majorHAnsi" w:cstheme="majorHAnsi"/>
                <w:szCs w:val="22"/>
              </w:rPr>
              <w:t>000</w:t>
            </w:r>
            <w:r w:rsidR="00FE02EB" w:rsidRPr="00737DD3">
              <w:rPr>
                <w:rFonts w:asciiTheme="majorHAnsi" w:hAnsiTheme="majorHAnsi" w:cstheme="majorHAnsi"/>
                <w:szCs w:val="22"/>
              </w:rPr>
              <w:t xml:space="preserve"> kg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FE02EB" w:rsidRPr="00737DD3" w:rsidTr="00737DD3">
        <w:trPr>
          <w:trHeight w:val="537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Destruction pour 1 tonne</w:t>
            </w:r>
            <w:r w:rsidRPr="00737DD3">
              <w:rPr>
                <w:rFonts w:ascii="Calibri Light" w:hAnsi="Calibri Light" w:cs="Calibri Light"/>
                <w:szCs w:val="22"/>
                <w:vertAlign w:val="superscript"/>
              </w:rPr>
              <w:t xml:space="preserve"> </w:t>
            </w:r>
            <w:r w:rsidRPr="00737DD3">
              <w:rPr>
                <w:rFonts w:ascii="Calibri Light" w:hAnsi="Calibri Light" w:cs="Calibri Light"/>
                <w:szCs w:val="22"/>
              </w:rPr>
              <w:t>de matériel informatique et électronique</w:t>
            </w:r>
          </w:p>
        </w:tc>
        <w:tc>
          <w:tcPr>
            <w:tcW w:w="2410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50</w:t>
            </w:r>
            <w:r w:rsidR="00FE02EB" w:rsidRPr="00737DD3">
              <w:rPr>
                <w:rFonts w:asciiTheme="majorHAnsi" w:hAnsiTheme="majorHAnsi" w:cstheme="majorHAnsi"/>
                <w:szCs w:val="22"/>
              </w:rPr>
              <w:t xml:space="preserve"> kg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FE02EB" w:rsidRPr="00737DD3" w:rsidTr="00737DD3">
        <w:trPr>
          <w:trHeight w:val="537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Destruction pour 1 tonne</w:t>
            </w:r>
            <w:r w:rsidRPr="00737DD3">
              <w:rPr>
                <w:rFonts w:ascii="Calibri Light" w:hAnsi="Calibri Light" w:cs="Calibri Light"/>
                <w:szCs w:val="22"/>
                <w:vertAlign w:val="superscript"/>
              </w:rPr>
              <w:t xml:space="preserve"> </w:t>
            </w:r>
            <w:r w:rsidRPr="00737DD3">
              <w:rPr>
                <w:rFonts w:ascii="Calibri Light" w:hAnsi="Calibri Light" w:cs="Calibri Light"/>
                <w:szCs w:val="22"/>
              </w:rPr>
              <w:t>de papier</w:t>
            </w:r>
          </w:p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 xml:space="preserve"> </w:t>
            </w:r>
            <w:proofErr w:type="gramStart"/>
            <w:r w:rsidRPr="00737DD3">
              <w:rPr>
                <w:rFonts w:ascii="Calibri Light" w:hAnsi="Calibri Light" w:cs="Calibri Light"/>
                <w:szCs w:val="22"/>
              </w:rPr>
              <w:t>et</w:t>
            </w:r>
            <w:proofErr w:type="gramEnd"/>
            <w:r w:rsidRPr="00737DD3">
              <w:rPr>
                <w:rFonts w:ascii="Calibri Light" w:hAnsi="Calibri Light" w:cs="Calibri Light"/>
                <w:szCs w:val="22"/>
              </w:rPr>
              <w:t xml:space="preserve"> carton</w:t>
            </w:r>
          </w:p>
        </w:tc>
        <w:tc>
          <w:tcPr>
            <w:tcW w:w="2410" w:type="dxa"/>
            <w:vAlign w:val="center"/>
          </w:tcPr>
          <w:p w:rsidR="00FE02EB" w:rsidRPr="00737DD3" w:rsidRDefault="00080127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300</w:t>
            </w:r>
            <w:r w:rsidR="00FE02EB" w:rsidRPr="00737DD3">
              <w:rPr>
                <w:rFonts w:asciiTheme="majorHAnsi" w:hAnsiTheme="majorHAnsi" w:cstheme="majorHAnsi"/>
                <w:szCs w:val="22"/>
              </w:rPr>
              <w:t xml:space="preserve"> kg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FE02EB" w:rsidRPr="00737DD3" w:rsidTr="00737DD3">
        <w:trPr>
          <w:trHeight w:val="328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shd w:val="clear" w:color="auto" w:fill="D9E2F3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 w:rsidRPr="00737DD3">
              <w:rPr>
                <w:rFonts w:ascii="Calibri Light" w:hAnsi="Calibri Light" w:cs="Calibri Light"/>
                <w:b/>
                <w:szCs w:val="22"/>
              </w:rPr>
              <w:t>Fournitures</w:t>
            </w:r>
          </w:p>
        </w:tc>
      </w:tr>
      <w:tr w:rsidR="00FE02EB" w:rsidRPr="00737DD3" w:rsidTr="00737DD3">
        <w:trPr>
          <w:trHeight w:val="422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Carton de transfert</w:t>
            </w:r>
          </w:p>
        </w:tc>
        <w:tc>
          <w:tcPr>
            <w:tcW w:w="2410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500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FE02EB" w:rsidRPr="00737DD3" w:rsidTr="00737DD3">
        <w:trPr>
          <w:trHeight w:val="415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="Calibri Light" w:hAnsi="Calibri Light" w:cs="Calibri Light"/>
                <w:szCs w:val="22"/>
              </w:rPr>
            </w:pPr>
            <w:r w:rsidRPr="00737DD3">
              <w:rPr>
                <w:rFonts w:ascii="Calibri Light" w:hAnsi="Calibri Light" w:cs="Calibri Light"/>
                <w:szCs w:val="22"/>
              </w:rPr>
              <w:t>Rouleau d’adhésif</w:t>
            </w:r>
          </w:p>
        </w:tc>
        <w:tc>
          <w:tcPr>
            <w:tcW w:w="2410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  <w:r w:rsidRPr="00737DD3">
              <w:rPr>
                <w:rFonts w:asciiTheme="majorHAnsi" w:hAnsiTheme="majorHAnsi" w:cstheme="majorHAnsi"/>
                <w:szCs w:val="22"/>
              </w:rPr>
              <w:t>25</w:t>
            </w:r>
          </w:p>
        </w:tc>
        <w:tc>
          <w:tcPr>
            <w:tcW w:w="2355" w:type="dxa"/>
            <w:shd w:val="clear" w:color="auto" w:fill="F7CAAC" w:themeFill="accent2" w:themeFillTint="66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FE02EB" w:rsidRPr="00737DD3" w:rsidTr="00737DD3">
        <w:trPr>
          <w:trHeight w:val="420"/>
          <w:jc w:val="center"/>
        </w:trPr>
        <w:tc>
          <w:tcPr>
            <w:tcW w:w="359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737DD3">
              <w:rPr>
                <w:rFonts w:asciiTheme="majorHAnsi" w:hAnsiTheme="majorHAnsi" w:cstheme="majorHAnsi"/>
                <w:b/>
                <w:szCs w:val="22"/>
              </w:rPr>
              <w:t>TOTAL GENERAL ESTIMATIF ET FICTIF</w:t>
            </w:r>
          </w:p>
        </w:tc>
        <w:tc>
          <w:tcPr>
            <w:tcW w:w="2410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737DD3">
              <w:rPr>
                <w:rFonts w:asciiTheme="majorHAnsi" w:hAnsiTheme="majorHAnsi" w:cstheme="majorHAnsi"/>
                <w:b/>
                <w:szCs w:val="22"/>
              </w:rPr>
              <w:t>/</w:t>
            </w:r>
          </w:p>
        </w:tc>
        <w:tc>
          <w:tcPr>
            <w:tcW w:w="2355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737DD3">
              <w:rPr>
                <w:rFonts w:asciiTheme="majorHAnsi" w:hAnsiTheme="majorHAnsi" w:cstheme="majorHAnsi"/>
                <w:b/>
                <w:szCs w:val="22"/>
              </w:rPr>
              <w:t>/</w:t>
            </w:r>
          </w:p>
        </w:tc>
        <w:tc>
          <w:tcPr>
            <w:tcW w:w="2409" w:type="dxa"/>
            <w:vAlign w:val="center"/>
          </w:tcPr>
          <w:p w:rsidR="00FE02EB" w:rsidRPr="00737DD3" w:rsidRDefault="00FE02EB" w:rsidP="00993307">
            <w:pPr>
              <w:ind w:left="142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</w:tbl>
    <w:p w:rsidR="00B04E06" w:rsidRDefault="00B04E06" w:rsidP="00993307">
      <w:pPr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E4BAD" w:rsidRDefault="009E4BAD" w:rsidP="00993307">
      <w:pPr>
        <w:ind w:left="142"/>
        <w:rPr>
          <w:rFonts w:cs="Arial"/>
          <w:b/>
          <w:sz w:val="22"/>
          <w:szCs w:val="22"/>
          <w:u w:val="single"/>
        </w:rPr>
      </w:pPr>
    </w:p>
    <w:p w:rsidR="00993307" w:rsidRPr="00043C16" w:rsidRDefault="006B5378" w:rsidP="00993307">
      <w:pPr>
        <w:ind w:left="142"/>
        <w:rPr>
          <w:rFonts w:cs="Arial"/>
          <w:b/>
          <w:sz w:val="22"/>
          <w:szCs w:val="22"/>
          <w:u w:val="single"/>
        </w:rPr>
      </w:pPr>
      <w:r w:rsidRPr="00043C16">
        <w:rPr>
          <w:rFonts w:cs="Arial"/>
          <w:b/>
          <w:sz w:val="22"/>
          <w:szCs w:val="22"/>
          <w:u w:val="single"/>
        </w:rPr>
        <w:t>Cachet, signature du candidat</w:t>
      </w:r>
      <w:r w:rsidRPr="00EE100A">
        <w:rPr>
          <w:rFonts w:cs="Arial"/>
          <w:b/>
          <w:sz w:val="22"/>
          <w:szCs w:val="22"/>
        </w:rPr>
        <w:t> :</w:t>
      </w:r>
      <w:r w:rsidR="00993307" w:rsidRPr="00993307">
        <w:rPr>
          <w:rFonts w:cs="Arial"/>
          <w:b/>
          <w:sz w:val="22"/>
          <w:szCs w:val="22"/>
        </w:rPr>
        <w:t xml:space="preserve">                                                                          </w:t>
      </w:r>
      <w:r w:rsidR="00993307" w:rsidRPr="00043C16">
        <w:rPr>
          <w:rFonts w:cs="Arial"/>
          <w:b/>
          <w:sz w:val="22"/>
          <w:szCs w:val="22"/>
          <w:u w:val="single"/>
        </w:rPr>
        <w:t>Date</w:t>
      </w:r>
      <w:r w:rsidR="00993307" w:rsidRPr="00EE100A">
        <w:rPr>
          <w:rFonts w:cs="Arial"/>
          <w:b/>
          <w:sz w:val="22"/>
          <w:szCs w:val="22"/>
        </w:rPr>
        <w:t> :</w:t>
      </w:r>
    </w:p>
    <w:p w:rsidR="006B5378" w:rsidRPr="00043C16" w:rsidRDefault="006B5378" w:rsidP="00737DD3">
      <w:pPr>
        <w:ind w:left="142"/>
        <w:rPr>
          <w:rFonts w:cs="Arial"/>
          <w:b/>
          <w:sz w:val="22"/>
          <w:szCs w:val="22"/>
          <w:u w:val="single"/>
        </w:rPr>
      </w:pPr>
    </w:p>
    <w:p w:rsidR="006B5378" w:rsidRPr="00043C16" w:rsidRDefault="006B5378" w:rsidP="00737DD3">
      <w:pPr>
        <w:ind w:left="142"/>
        <w:rPr>
          <w:rFonts w:cs="Arial"/>
          <w:b/>
          <w:sz w:val="22"/>
          <w:szCs w:val="22"/>
          <w:u w:val="single"/>
        </w:rPr>
      </w:pPr>
    </w:p>
    <w:p w:rsidR="00B04E06" w:rsidRDefault="00B04E06" w:rsidP="00993307">
      <w:pPr>
        <w:rPr>
          <w:rFonts w:cs="Arial"/>
          <w:b/>
          <w:sz w:val="22"/>
          <w:szCs w:val="22"/>
          <w:u w:val="single"/>
        </w:rPr>
      </w:pPr>
    </w:p>
    <w:sectPr w:rsidR="00B04E06" w:rsidSect="00643CF3">
      <w:headerReference w:type="default" r:id="rId10"/>
      <w:pgSz w:w="11907" w:h="16840" w:code="9"/>
      <w:pgMar w:top="993" w:right="567" w:bottom="340" w:left="567" w:header="28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00A" w:rsidRDefault="00EE100A" w:rsidP="00EE100A">
      <w:r>
        <w:separator/>
      </w:r>
    </w:p>
  </w:endnote>
  <w:endnote w:type="continuationSeparator" w:id="0">
    <w:p w:rsidR="00EE100A" w:rsidRDefault="00EE100A" w:rsidP="00EE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00A" w:rsidRDefault="00EE100A" w:rsidP="00EE100A">
      <w:r>
        <w:separator/>
      </w:r>
    </w:p>
  </w:footnote>
  <w:footnote w:type="continuationSeparator" w:id="0">
    <w:p w:rsidR="00EE100A" w:rsidRDefault="00EE100A" w:rsidP="00EE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00A" w:rsidRDefault="00EE100A">
    <w:pPr>
      <w:pStyle w:val="En-tte"/>
    </w:pPr>
    <w:r>
      <w:rPr>
        <w:noProof/>
      </w:rPr>
      <w:drawing>
        <wp:inline distT="0" distB="0" distL="0" distR="0" wp14:anchorId="72FC93EA">
          <wp:extent cx="630000" cy="604800"/>
          <wp:effectExtent l="0" t="0" r="0" b="508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00" cy="6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 w:rsidRPr="00EE100A">
      <w:t xml:space="preserve"> </w:t>
    </w:r>
    <w:r w:rsidRPr="00737DD3">
      <w:rPr>
        <w:b/>
        <w:i/>
        <w:sz w:val="24"/>
      </w:rPr>
      <w:ptab w:relativeTo="margin" w:alignment="right" w:leader="none"/>
    </w:r>
    <w:r w:rsidRPr="00737DD3">
      <w:rPr>
        <w:b/>
        <w:i/>
        <w:sz w:val="24"/>
      </w:rPr>
      <w:t>Consultation n° 202</w:t>
    </w:r>
    <w:r w:rsidR="004E493D">
      <w:rPr>
        <w:b/>
        <w:i/>
        <w:sz w:val="24"/>
      </w:rPr>
      <w:t>6002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939749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D215845"/>
    <w:multiLevelType w:val="hybridMultilevel"/>
    <w:tmpl w:val="E47266AA"/>
    <w:lvl w:ilvl="0" w:tplc="F0C20A50">
      <w:start w:val="2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699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356"/>
    <w:rsid w:val="00043C16"/>
    <w:rsid w:val="0006422B"/>
    <w:rsid w:val="0006676E"/>
    <w:rsid w:val="00080127"/>
    <w:rsid w:val="000F3157"/>
    <w:rsid w:val="001453B4"/>
    <w:rsid w:val="00145859"/>
    <w:rsid w:val="001C7FFE"/>
    <w:rsid w:val="001E126F"/>
    <w:rsid w:val="00281BD5"/>
    <w:rsid w:val="002B3F5B"/>
    <w:rsid w:val="00336B7C"/>
    <w:rsid w:val="003756FC"/>
    <w:rsid w:val="003B617F"/>
    <w:rsid w:val="00407745"/>
    <w:rsid w:val="00414057"/>
    <w:rsid w:val="00490EE1"/>
    <w:rsid w:val="004960DB"/>
    <w:rsid w:val="004E493D"/>
    <w:rsid w:val="00516FFE"/>
    <w:rsid w:val="00543841"/>
    <w:rsid w:val="005553F0"/>
    <w:rsid w:val="00574918"/>
    <w:rsid w:val="005F0704"/>
    <w:rsid w:val="00632654"/>
    <w:rsid w:val="00643CF3"/>
    <w:rsid w:val="00657438"/>
    <w:rsid w:val="00687776"/>
    <w:rsid w:val="006B5378"/>
    <w:rsid w:val="006D06AA"/>
    <w:rsid w:val="00737DD3"/>
    <w:rsid w:val="007514A1"/>
    <w:rsid w:val="007F17D9"/>
    <w:rsid w:val="007F3FC9"/>
    <w:rsid w:val="00817A00"/>
    <w:rsid w:val="00840AF2"/>
    <w:rsid w:val="008A31CB"/>
    <w:rsid w:val="009014E8"/>
    <w:rsid w:val="00904356"/>
    <w:rsid w:val="00905438"/>
    <w:rsid w:val="00930C13"/>
    <w:rsid w:val="009845B5"/>
    <w:rsid w:val="00993307"/>
    <w:rsid w:val="009C012B"/>
    <w:rsid w:val="009D17A2"/>
    <w:rsid w:val="009E4BAD"/>
    <w:rsid w:val="00A52997"/>
    <w:rsid w:val="00A91356"/>
    <w:rsid w:val="00AB644C"/>
    <w:rsid w:val="00B04E06"/>
    <w:rsid w:val="00B24198"/>
    <w:rsid w:val="00B33924"/>
    <w:rsid w:val="00B60E00"/>
    <w:rsid w:val="00B96591"/>
    <w:rsid w:val="00BA7DD5"/>
    <w:rsid w:val="00BB1507"/>
    <w:rsid w:val="00BC2625"/>
    <w:rsid w:val="00BC557D"/>
    <w:rsid w:val="00BC5C29"/>
    <w:rsid w:val="00C42C5C"/>
    <w:rsid w:val="00C510BC"/>
    <w:rsid w:val="00C91687"/>
    <w:rsid w:val="00CC387F"/>
    <w:rsid w:val="00CC3D65"/>
    <w:rsid w:val="00D31ADC"/>
    <w:rsid w:val="00DD09C0"/>
    <w:rsid w:val="00DE0760"/>
    <w:rsid w:val="00E3443D"/>
    <w:rsid w:val="00E70D59"/>
    <w:rsid w:val="00E80B66"/>
    <w:rsid w:val="00E83C9A"/>
    <w:rsid w:val="00EE100A"/>
    <w:rsid w:val="00F3147F"/>
    <w:rsid w:val="00F51524"/>
    <w:rsid w:val="00FE02EB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4EC5D7"/>
  <w15:chartTrackingRefBased/>
  <w15:docId w15:val="{418970F0-18EF-49D9-8587-CA8DC617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pBdr>
        <w:bottom w:val="single" w:sz="12" w:space="1" w:color="auto"/>
      </w:pBdr>
      <w:shd w:val="pct25" w:color="auto" w:fill="auto"/>
      <w:jc w:val="both"/>
      <w:outlineLvl w:val="0"/>
    </w:pPr>
    <w:rPr>
      <w:rFonts w:ascii="Comic Sans MS" w:hAnsi="Comic Sans MS"/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i/>
    </w:rPr>
  </w:style>
  <w:style w:type="paragraph" w:styleId="Titre3">
    <w:name w:val="heading 3"/>
    <w:basedOn w:val="Normal"/>
    <w:next w:val="Normal"/>
    <w:qFormat/>
    <w:pPr>
      <w:keepNext/>
      <w:ind w:left="708"/>
      <w:outlineLvl w:val="2"/>
    </w:pPr>
    <w:rPr>
      <w:rFonts w:ascii="Comic Sans MS" w:hAnsi="Comic Sans MS"/>
      <w:b/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Comic Sans MS" w:hAnsi="Comic Sans MS"/>
      <w:b/>
      <w:sz w:val="18"/>
      <w:u w:val="single"/>
    </w:rPr>
  </w:style>
  <w:style w:type="paragraph" w:styleId="Titre5">
    <w:name w:val="heading 5"/>
    <w:basedOn w:val="Normal"/>
    <w:next w:val="Normal"/>
    <w:qFormat/>
    <w:pPr>
      <w:keepNext/>
      <w:ind w:left="708"/>
      <w:outlineLvl w:val="4"/>
    </w:pPr>
    <w:rPr>
      <w:rFonts w:ascii="Comic Sans MS" w:hAnsi="Comic Sans MS"/>
      <w:i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Comic Sans MS" w:hAnsi="Comic Sans MS"/>
      <w:b/>
      <w:sz w:val="72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Comic Sans MS" w:hAnsi="Comic Sans MS"/>
      <w:b/>
      <w:sz w:val="48"/>
    </w:rPr>
  </w:style>
  <w:style w:type="paragraph" w:styleId="Titre8">
    <w:name w:val="heading 8"/>
    <w:basedOn w:val="Normal"/>
    <w:next w:val="Normal"/>
    <w:qFormat/>
    <w:pPr>
      <w:keepNext/>
      <w:ind w:left="497"/>
      <w:outlineLvl w:val="7"/>
    </w:pPr>
    <w:rPr>
      <w:rFonts w:ascii="Comic Sans MS" w:hAnsi="Comic Sans MS"/>
      <w:i/>
      <w:sz w:val="22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Comic Sans MS" w:hAnsi="Comic Sans MS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  <w:rPr>
      <w:rFonts w:ascii="Comic Sans MS" w:hAnsi="Comic Sans MS"/>
      <w:b/>
      <w:sz w:val="22"/>
    </w:rPr>
  </w:style>
  <w:style w:type="paragraph" w:styleId="Corpsdetexte2">
    <w:name w:val="Body Text 2"/>
    <w:basedOn w:val="Normal"/>
    <w:semiHidden/>
    <w:pPr>
      <w:shd w:val="pct25" w:color="auto" w:fill="auto"/>
      <w:jc w:val="center"/>
    </w:pPr>
    <w:rPr>
      <w:rFonts w:ascii="Comic Sans MS" w:hAnsi="Comic Sans MS"/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0B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80B6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E02E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10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100A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EE10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100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0E4E7-4F62-433F-B2F5-AD9B844A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383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CCIB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Nicolas PELLETIER</dc:creator>
  <cp:keywords/>
  <dc:description/>
  <cp:lastModifiedBy>Alex KORE</cp:lastModifiedBy>
  <cp:revision>13</cp:revision>
  <cp:lastPrinted>2008-10-29T12:55:00Z</cp:lastPrinted>
  <dcterms:created xsi:type="dcterms:W3CDTF">2021-11-15T17:14:00Z</dcterms:created>
  <dcterms:modified xsi:type="dcterms:W3CDTF">2025-10-20T08:39:00Z</dcterms:modified>
</cp:coreProperties>
</file>